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4EFF" w:rsidRDefault="00C14EFF"/>
    <w:p w:rsidR="00C14EFF" w:rsidRDefault="00C14EFF"/>
    <w:p w:rsidR="00C14EFF" w:rsidRDefault="00C14EFF"/>
    <w:p w:rsidR="00C14EFF" w:rsidRDefault="00C14EFF"/>
    <w:p w:rsidR="00C14EFF" w:rsidRDefault="00C14EFF"/>
    <w:p w:rsidR="00C14EFF" w:rsidRDefault="00AF28ED">
      <w:pPr>
        <w:jc w:val="center"/>
      </w:pPr>
      <w:r>
        <w:t>Quantitative Forecasting</w:t>
      </w:r>
      <w:r w:rsidR="00DB35D4">
        <w:t xml:space="preserve"> Assignment</w:t>
      </w:r>
    </w:p>
    <w:p w:rsidR="00C14EFF" w:rsidRDefault="00FA7D37">
      <w:pPr>
        <w:jc w:val="center"/>
      </w:pPr>
      <w:r>
        <w:t>Name of Student</w:t>
      </w:r>
    </w:p>
    <w:p w:rsidR="00C14EFF" w:rsidRDefault="00FA7D37">
      <w:pPr>
        <w:jc w:val="center"/>
      </w:pPr>
      <w:r>
        <w:t>Institution Affiliation</w:t>
      </w:r>
    </w:p>
    <w:p w:rsidR="00C14EFF" w:rsidRDefault="00FA7D37">
      <w:r>
        <w:br w:type="page"/>
      </w:r>
    </w:p>
    <w:p w:rsidR="00D771DB" w:rsidRPr="00AF28ED" w:rsidRDefault="00AF28ED" w:rsidP="00D771DB">
      <w:pPr>
        <w:jc w:val="center"/>
        <w:rPr>
          <w:b/>
        </w:rPr>
      </w:pPr>
      <w:r w:rsidRPr="00AF28ED">
        <w:rPr>
          <w:b/>
        </w:rPr>
        <w:lastRenderedPageBreak/>
        <w:t>Introduction</w:t>
      </w:r>
    </w:p>
    <w:p w:rsidR="000C4671" w:rsidRDefault="00AF28ED" w:rsidP="00AF28ED">
      <w:r>
        <w:tab/>
        <w:t>Quantitative forecasting methods enable the prediction (forecasting) of the future value or amount of a given variable such as sales generated by a company</w:t>
      </w:r>
      <w:r w:rsidR="00EF4314">
        <w:t xml:space="preserve">. </w:t>
      </w:r>
      <w:r>
        <w:t>These techniques generally pick out past trends from a baseline and extrapolate them into the future to get future variables with the assumption that the same underlying trends will continue in the future</w:t>
      </w:r>
      <w:r w:rsidR="005A00E8">
        <w:t xml:space="preserve"> (T. Lucey, 2002)</w:t>
      </w:r>
      <w:r w:rsidR="000C4671">
        <w:t>. Microsoft Excel is of great help in the forecasting as it has in-built tools (Data Analysis) which help with each of the forecasting techniques. The three quantitative forecasts that will be developed for purposes of the exercise are exponential smoothing, moving averages and historical growth rates (Compounded annual growth rate).</w:t>
      </w:r>
    </w:p>
    <w:p w:rsidR="000C4671" w:rsidRDefault="000C4671" w:rsidP="00AF28ED">
      <w:pPr>
        <w:rPr>
          <w:b/>
        </w:rPr>
      </w:pPr>
      <w:r>
        <w:rPr>
          <w:b/>
        </w:rPr>
        <w:t>Exponential Smoothing</w:t>
      </w:r>
    </w:p>
    <w:p w:rsidR="000C4671" w:rsidRDefault="000C4671" w:rsidP="00AF28ED">
      <w:r>
        <w:rPr>
          <w:noProof/>
        </w:rPr>
        <w:drawing>
          <wp:inline distT="0" distB="0" distL="0" distR="0" wp14:anchorId="1E069103" wp14:editId="7E888A6C">
            <wp:extent cx="3781425" cy="1905000"/>
            <wp:effectExtent l="0" t="0" r="9525"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0C4671" w:rsidRDefault="000C4671" w:rsidP="00AF28ED">
      <w:pPr>
        <w:rPr>
          <w:i/>
        </w:rPr>
      </w:pPr>
      <w:r>
        <w:rPr>
          <w:i/>
        </w:rPr>
        <w:t>Above is an excel generated graph of the exponential smoothing technique of forecasting future PepsiCo revenues.</w:t>
      </w:r>
    </w:p>
    <w:p w:rsidR="007E007B" w:rsidRDefault="000C4671" w:rsidP="00AF28ED">
      <w:r>
        <w:tab/>
        <w:t xml:space="preserve">Exponential </w:t>
      </w:r>
      <w:r w:rsidR="007E007B">
        <w:t>smoothing is a quantitative forecasting technique that estimates/ predicts future variable values from past values using the exponential window function. It differs from simple moving average forecasting as it places different weightings on past variables and is able to work around seasonal and cyclical impacts on a data series.</w:t>
      </w:r>
    </w:p>
    <w:p w:rsidR="000C4671" w:rsidRDefault="007E007B" w:rsidP="00AF28ED">
      <w:r>
        <w:tab/>
        <w:t>Data on PepsiCo</w:t>
      </w:r>
      <w:r w:rsidR="001829B3">
        <w:t>’s (a publicly listed beverage company in the United States, NASDAQ:PEP)</w:t>
      </w:r>
      <w:r>
        <w:t xml:space="preserve"> revenues from 2010 to 2017 has been collected and will be used to forecast </w:t>
      </w:r>
      <w:r>
        <w:lastRenderedPageBreak/>
        <w:t>the 2018 revenues</w:t>
      </w:r>
      <w:r w:rsidR="001829B3">
        <w:t>. The first step is to input the past revenue figures into an excel worksheet. Once the data points are keyed in, the ‘Exponential Smoothing’ function in the ‘Data Analysis’ tool pack</w:t>
      </w:r>
      <w:r w:rsidR="00EF4314">
        <w:t xml:space="preserve"> is applied</w:t>
      </w:r>
      <w:r w:rsidR="001829B3">
        <w:t>. The excel function will calculate the ‘smoothed’ revenue numbers for the past years and the trend can be extended to the next year (2018) by dr</w:t>
      </w:r>
      <w:r w:rsidR="007E0254">
        <w:t>agging the 2017 formula to 2018 as performed in the adjoining excel workbook.</w:t>
      </w:r>
      <w:r w:rsidR="008740BC">
        <w:t xml:space="preserve"> An arbitrary dampening factor of 0.6 has been applied on the function. The reasoning behind the value is that the forecast value should be closer to that of the prior year’s value. This is because the company must have gained certain competitive advantages over the period that have enabled it to increase market share and generate higher revenues year on year. </w:t>
      </w:r>
      <w:r w:rsidR="007E0254">
        <w:t xml:space="preserve"> Excel also plots a chart showing the past revenue numbers against the forecast/ ‘smoothed’ numbers. The forecast PepsiCo revenues for 2018 are USD 62.34 Billion.</w:t>
      </w:r>
    </w:p>
    <w:p w:rsidR="007E0254" w:rsidRDefault="007E0254" w:rsidP="00AF28ED">
      <w:pPr>
        <w:rPr>
          <w:b/>
        </w:rPr>
      </w:pPr>
      <w:r>
        <w:rPr>
          <w:b/>
        </w:rPr>
        <w:t>Moving Average</w:t>
      </w:r>
    </w:p>
    <w:p w:rsidR="007E0254" w:rsidRDefault="007E0254" w:rsidP="00AF28ED">
      <w:r>
        <w:tab/>
        <w:t xml:space="preserve">The moving average forecasting technique analyses data points by creating a series of averages of different subsets of the full data set (for instance a 3-year moving average or a 5-year moving average). It is widely used in technical analysis, especially in stock market analysis as it helps smooth out price action by filtering the ‘noise’ from random short-term price </w:t>
      </w:r>
      <w:r w:rsidR="00B7046A">
        <w:t>fluctuations</w:t>
      </w:r>
      <w:r>
        <w:t>.</w:t>
      </w:r>
    </w:p>
    <w:p w:rsidR="00B7046A" w:rsidRDefault="00B7046A" w:rsidP="00AF28ED">
      <w:r>
        <w:rPr>
          <w:noProof/>
        </w:rPr>
        <w:drawing>
          <wp:inline distT="0" distB="0" distL="0" distR="0" wp14:anchorId="67EB206D" wp14:editId="5C885856">
            <wp:extent cx="3781425" cy="1905000"/>
            <wp:effectExtent l="0" t="0" r="9525" b="190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B7046A" w:rsidRDefault="00B7046A" w:rsidP="00AF28ED">
      <w:pPr>
        <w:rPr>
          <w:i/>
        </w:rPr>
      </w:pPr>
      <w:r>
        <w:rPr>
          <w:i/>
        </w:rPr>
        <w:lastRenderedPageBreak/>
        <w:t>The chart shows an excel generated graph of the moving average forecasting technique of PepsiCo revenues</w:t>
      </w:r>
    </w:p>
    <w:p w:rsidR="00B7046A" w:rsidRDefault="00B7046A" w:rsidP="00AF28ED">
      <w:r>
        <w:tab/>
        <w:t>Excel is of great help in the moving average forecasting as well. The ‘moving average’ function in the ‘Data Analysis’ tool pack will be applied on past revenue data points. Excel then calculates the forecast 2018 value as USD 63.16 billion and plots a graph of actual values versus data points from calculation of the moving averages.</w:t>
      </w:r>
    </w:p>
    <w:p w:rsidR="00B7046A" w:rsidRDefault="00B7046A" w:rsidP="00AF28ED">
      <w:pPr>
        <w:rPr>
          <w:b/>
        </w:rPr>
      </w:pPr>
      <w:r>
        <w:rPr>
          <w:b/>
        </w:rPr>
        <w:t>Historical Growth Rates</w:t>
      </w:r>
    </w:p>
    <w:p w:rsidR="008740BC" w:rsidRDefault="00B7046A" w:rsidP="00AF28ED">
      <w:r>
        <w:tab/>
        <w:t>The third quantitative forecasting technique uses historical growth rates to calculate future revenue values. Specifically, the compounded annual growth rate (CA</w:t>
      </w:r>
      <w:r w:rsidR="00EF4314">
        <w:t>GR)</w:t>
      </w:r>
      <w:r>
        <w:t xml:space="preserve"> calculates the growth experienced within a given period and </w:t>
      </w:r>
      <w:r w:rsidR="00E46CA4">
        <w:t>expresses it as an annual compounded rate. The 5 year compounded annual growth rate has been calculated from the 2012 and 2017 revenues using excel and is determined to be 1.404%. The 2013 revenue value is then compounded annually over the next 5 years (up to 2018) at 1.404% to get the forecast 2018 revenue figure of USD 64.72 billion.</w:t>
      </w:r>
    </w:p>
    <w:p w:rsidR="00E46CA4" w:rsidRDefault="00E46CA4" w:rsidP="00AF28ED">
      <w:pPr>
        <w:rPr>
          <w:b/>
        </w:rPr>
      </w:pPr>
      <w:r>
        <w:rPr>
          <w:b/>
        </w:rPr>
        <w:t>Discussion</w:t>
      </w:r>
    </w:p>
    <w:p w:rsidR="00E46CA4" w:rsidRPr="00E46CA4" w:rsidRDefault="008740BC" w:rsidP="00AF28ED">
      <w:r>
        <w:tab/>
        <w:t>The moving average forecasting, as mentioned previously, places equal weighting on the past observations. As such, it is unable to factor in market place intricacies such as industry-wide events (for instance, change in consumer taste and preferences)</w:t>
      </w:r>
      <w:r w:rsidR="002F2AE0">
        <w:t>, cyclicality and shocks</w:t>
      </w:r>
      <w:r>
        <w:t xml:space="preserve"> that cause sharp and haphazard changes in the revenues in different years.</w:t>
      </w:r>
      <w:r w:rsidR="002F2AE0">
        <w:t xml:space="preserve"> The historical growth rate forecasting also falls below par as it utilizes very few data points. For instance, the CAGR forecast covered only uses two data points. The exponential smoothing technique as covered is able to smooth out such shocks by affording the capability of a factor that defines the weightings of the data points. Therefore, it still makes accurate forecasts even with highly volatile trends. Moreover, the exponential smoothing technique incorporates data </w:t>
      </w:r>
      <w:r w:rsidR="002F2AE0">
        <w:lastRenderedPageBreak/>
        <w:t>over a longer time period.</w:t>
      </w:r>
      <w:r w:rsidR="00EF4314">
        <w:t xml:space="preserve"> That said, this technique will ensure stability of forecast financial metrics such as profit margins and operating efficiency ratios as it is able to effectively smooth out data to mitigate against seasonal shocks.</w:t>
      </w:r>
      <w:r w:rsidR="002F2AE0">
        <w:t xml:space="preserve"> </w:t>
      </w:r>
      <w:r w:rsidR="00E46CA4">
        <w:tab/>
      </w:r>
    </w:p>
    <w:p w:rsidR="00B7046A" w:rsidRPr="00B7046A" w:rsidRDefault="00B7046A" w:rsidP="00AF28ED"/>
    <w:p w:rsidR="007E0254" w:rsidRPr="000C4671" w:rsidRDefault="007E0254" w:rsidP="00AF28ED">
      <w:r>
        <w:tab/>
      </w:r>
    </w:p>
    <w:p w:rsidR="001B0FE2" w:rsidRDefault="00D771DB" w:rsidP="00AF28ED">
      <w:r>
        <w:tab/>
      </w:r>
    </w:p>
    <w:p w:rsidR="00AF28ED" w:rsidRDefault="00AF28ED" w:rsidP="00AF28ED"/>
    <w:p w:rsidR="00AF28ED" w:rsidRDefault="00AF28ED" w:rsidP="00AF28ED"/>
    <w:p w:rsidR="006D2D7E" w:rsidRDefault="006D2D7E" w:rsidP="006B2F2D"/>
    <w:p w:rsidR="0059121A" w:rsidRDefault="0059121A" w:rsidP="006B2F2D"/>
    <w:p w:rsidR="0059121A" w:rsidRDefault="0059121A" w:rsidP="006B2F2D"/>
    <w:p w:rsidR="0059121A" w:rsidRDefault="0059121A" w:rsidP="006B2F2D"/>
    <w:p w:rsidR="0059121A" w:rsidRDefault="0059121A" w:rsidP="006B2F2D"/>
    <w:p w:rsidR="0059121A" w:rsidRDefault="0059121A" w:rsidP="006B2F2D"/>
    <w:p w:rsidR="0059121A" w:rsidRDefault="0059121A" w:rsidP="006B2F2D"/>
    <w:p w:rsidR="0059121A" w:rsidRDefault="0059121A" w:rsidP="006B2F2D"/>
    <w:p w:rsidR="0059121A" w:rsidRDefault="0059121A" w:rsidP="006B2F2D"/>
    <w:p w:rsidR="0059121A" w:rsidRDefault="0059121A" w:rsidP="006B2F2D"/>
    <w:p w:rsidR="0059121A" w:rsidRDefault="0059121A" w:rsidP="006B2F2D"/>
    <w:p w:rsidR="0059121A" w:rsidRDefault="0059121A" w:rsidP="006B2F2D"/>
    <w:p w:rsidR="006D2D7E" w:rsidRDefault="006D2D7E" w:rsidP="006D2D7E">
      <w:pPr>
        <w:jc w:val="center"/>
        <w:rPr>
          <w:u w:val="single"/>
        </w:rPr>
      </w:pPr>
      <w:r w:rsidRPr="006D2D7E">
        <w:rPr>
          <w:u w:val="single"/>
        </w:rPr>
        <w:lastRenderedPageBreak/>
        <w:t>References</w:t>
      </w:r>
    </w:p>
    <w:p w:rsidR="0059121A" w:rsidRDefault="0059121A" w:rsidP="0059121A">
      <w:r>
        <w:t xml:space="preserve">T. Lucey, 2002. Quantitative Techniques. CIMA course guide. </w:t>
      </w:r>
    </w:p>
    <w:p w:rsidR="005A00E8" w:rsidRDefault="0059121A" w:rsidP="0059121A">
      <w:bookmarkStart w:id="0" w:name="_GoBack"/>
      <w:bookmarkEnd w:id="0"/>
      <w:r>
        <w:t xml:space="preserve">V.V. Katdare, M.Y.A. Patil, 1978. Quantitative </w:t>
      </w:r>
      <w:r w:rsidR="005A00E8">
        <w:t>Techniques</w:t>
      </w:r>
      <w:r>
        <w:t>.</w:t>
      </w:r>
    </w:p>
    <w:p w:rsidR="0059121A" w:rsidRDefault="0059121A" w:rsidP="005A00E8">
      <w:pPr>
        <w:ind w:firstLine="720"/>
      </w:pPr>
      <w:r>
        <w:t xml:space="preserve"> http:/www.prashantpublications.com</w:t>
      </w:r>
    </w:p>
    <w:p w:rsidR="0059121A" w:rsidRDefault="0059121A" w:rsidP="0059121A"/>
    <w:p w:rsidR="0059121A" w:rsidRPr="0059121A" w:rsidRDefault="0059121A" w:rsidP="0059121A"/>
    <w:sectPr w:rsidR="0059121A" w:rsidRPr="0059121A" w:rsidSect="00735290">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11C1" w:rsidRDefault="004111C1">
      <w:pPr>
        <w:spacing w:after="0" w:line="240" w:lineRule="auto"/>
      </w:pPr>
      <w:r>
        <w:separator/>
      </w:r>
    </w:p>
  </w:endnote>
  <w:endnote w:type="continuationSeparator" w:id="0">
    <w:p w:rsidR="004111C1" w:rsidRDefault="004111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11C1" w:rsidRDefault="004111C1">
      <w:pPr>
        <w:spacing w:after="0" w:line="240" w:lineRule="auto"/>
      </w:pPr>
      <w:r>
        <w:separator/>
      </w:r>
    </w:p>
  </w:footnote>
  <w:footnote w:type="continuationSeparator" w:id="0">
    <w:p w:rsidR="004111C1" w:rsidRDefault="004111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EFF" w:rsidRDefault="006671FA">
    <w:pPr>
      <w:pStyle w:val="Header"/>
    </w:pPr>
    <w:r>
      <w:t>QUANTITATIVE FORECASTING</w:t>
    </w:r>
    <w:r>
      <w:tab/>
    </w:r>
    <w:r>
      <w:tab/>
    </w:r>
    <w:r>
      <w:fldChar w:fldCharType="begin"/>
    </w:r>
    <w:r>
      <w:instrText xml:space="preserve"> PAGE   \* MERGEFORMAT </w:instrText>
    </w:r>
    <w:r>
      <w:fldChar w:fldCharType="separate"/>
    </w:r>
    <w:r>
      <w:rPr>
        <w:noProof/>
      </w:rPr>
      <w:t>6</w:t>
    </w:r>
    <w:r>
      <w:rPr>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EFF" w:rsidRDefault="00FA7D37">
    <w:pPr>
      <w:pStyle w:val="Header"/>
    </w:pPr>
    <w:r>
      <w:t xml:space="preserve">Running head: </w:t>
    </w:r>
    <w:r w:rsidR="006671FA">
      <w:t>QUANTITATIVE FORECASTING</w:t>
    </w:r>
    <w:r w:rsidR="006671FA">
      <w:tab/>
    </w:r>
    <w:r w:rsidR="006671FA">
      <w:fldChar w:fldCharType="begin"/>
    </w:r>
    <w:r w:rsidR="006671FA">
      <w:instrText xml:space="preserve"> PAGE   \* MERGEFORMAT </w:instrText>
    </w:r>
    <w:r w:rsidR="006671FA">
      <w:fldChar w:fldCharType="separate"/>
    </w:r>
    <w:r w:rsidR="006671FA">
      <w:rPr>
        <w:noProof/>
      </w:rPr>
      <w:t>1</w:t>
    </w:r>
    <w:r w:rsidR="006671FA">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4EFF"/>
    <w:rsid w:val="000022BD"/>
    <w:rsid w:val="0007226F"/>
    <w:rsid w:val="000C4671"/>
    <w:rsid w:val="00140EB8"/>
    <w:rsid w:val="00156C05"/>
    <w:rsid w:val="0016783D"/>
    <w:rsid w:val="001829B3"/>
    <w:rsid w:val="001B0FE2"/>
    <w:rsid w:val="00294C4A"/>
    <w:rsid w:val="002B63DB"/>
    <w:rsid w:val="002C588D"/>
    <w:rsid w:val="002E6D65"/>
    <w:rsid w:val="002F2AE0"/>
    <w:rsid w:val="003C4732"/>
    <w:rsid w:val="004111C1"/>
    <w:rsid w:val="00452E62"/>
    <w:rsid w:val="004579E9"/>
    <w:rsid w:val="00481EB7"/>
    <w:rsid w:val="004B2230"/>
    <w:rsid w:val="0051278F"/>
    <w:rsid w:val="005718AB"/>
    <w:rsid w:val="0059121A"/>
    <w:rsid w:val="005A00E8"/>
    <w:rsid w:val="005E13AE"/>
    <w:rsid w:val="006671FA"/>
    <w:rsid w:val="006B2F2D"/>
    <w:rsid w:val="006D2D7E"/>
    <w:rsid w:val="006F492F"/>
    <w:rsid w:val="0070007E"/>
    <w:rsid w:val="00735290"/>
    <w:rsid w:val="007E007B"/>
    <w:rsid w:val="007E0254"/>
    <w:rsid w:val="00841408"/>
    <w:rsid w:val="008740BC"/>
    <w:rsid w:val="008C0D50"/>
    <w:rsid w:val="008C7B27"/>
    <w:rsid w:val="0094343A"/>
    <w:rsid w:val="009B4A4C"/>
    <w:rsid w:val="009C7FAF"/>
    <w:rsid w:val="009D3419"/>
    <w:rsid w:val="009E4BC7"/>
    <w:rsid w:val="00A20ACF"/>
    <w:rsid w:val="00A31E92"/>
    <w:rsid w:val="00A90044"/>
    <w:rsid w:val="00AF28ED"/>
    <w:rsid w:val="00B5203D"/>
    <w:rsid w:val="00B7046A"/>
    <w:rsid w:val="00B71300"/>
    <w:rsid w:val="00B87CFF"/>
    <w:rsid w:val="00BE555A"/>
    <w:rsid w:val="00BE659E"/>
    <w:rsid w:val="00C14EFF"/>
    <w:rsid w:val="00C167C3"/>
    <w:rsid w:val="00CC2972"/>
    <w:rsid w:val="00CF259B"/>
    <w:rsid w:val="00D24B65"/>
    <w:rsid w:val="00D5629B"/>
    <w:rsid w:val="00D771DB"/>
    <w:rsid w:val="00DA0844"/>
    <w:rsid w:val="00DB35D4"/>
    <w:rsid w:val="00E36EA3"/>
    <w:rsid w:val="00E46CA4"/>
    <w:rsid w:val="00EB6800"/>
    <w:rsid w:val="00EC759D"/>
    <w:rsid w:val="00EF4314"/>
    <w:rsid w:val="00F87FDC"/>
    <w:rsid w:val="00FA7D37"/>
    <w:rsid w:val="00FC19DC"/>
    <w:rsid w:val="00FE6CBF"/>
    <w:rsid w:val="00FF59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B7084"/>
  <w15:docId w15:val="{3A18EE24-083D-439A-A78F-E8B679801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SimSun"/>
        <w:sz w:val="24"/>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5290"/>
  </w:style>
  <w:style w:type="paragraph" w:styleId="Heading1">
    <w:name w:val="heading 1"/>
    <w:basedOn w:val="Normal"/>
    <w:next w:val="Normal"/>
    <w:link w:val="Heading1Char"/>
    <w:uiPriority w:val="9"/>
    <w:qFormat/>
    <w:rsid w:val="00735290"/>
    <w:pPr>
      <w:keepNext/>
      <w:keepLines/>
      <w:spacing w:before="240" w:after="0" w:line="259" w:lineRule="auto"/>
      <w:outlineLvl w:val="0"/>
    </w:pPr>
    <w:rPr>
      <w:rFonts w:ascii="Calibri Light" w:eastAsia="SimSun" w:hAnsi="Calibri Light"/>
      <w:color w:val="2F5496"/>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352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5290"/>
  </w:style>
  <w:style w:type="paragraph" w:styleId="Footer">
    <w:name w:val="footer"/>
    <w:basedOn w:val="Normal"/>
    <w:link w:val="FooterChar"/>
    <w:uiPriority w:val="99"/>
    <w:rsid w:val="007352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5290"/>
  </w:style>
  <w:style w:type="character" w:customStyle="1" w:styleId="Heading1Char">
    <w:name w:val="Heading 1 Char"/>
    <w:basedOn w:val="DefaultParagraphFont"/>
    <w:link w:val="Heading1"/>
    <w:uiPriority w:val="9"/>
    <w:rsid w:val="00735290"/>
    <w:rPr>
      <w:rFonts w:ascii="Calibri Light" w:eastAsia="SimSun" w:hAnsi="Calibri Light" w:cs="SimSun"/>
      <w:color w:val="2F5496"/>
      <w:sz w:val="32"/>
      <w:szCs w:val="32"/>
    </w:rPr>
  </w:style>
  <w:style w:type="paragraph" w:styleId="Bibliography">
    <w:name w:val="Bibliography"/>
    <w:basedOn w:val="Normal"/>
    <w:next w:val="Normal"/>
    <w:uiPriority w:val="37"/>
    <w:rsid w:val="00735290"/>
  </w:style>
  <w:style w:type="paragraph" w:styleId="BalloonText">
    <w:name w:val="Balloon Text"/>
    <w:basedOn w:val="Normal"/>
    <w:link w:val="BalloonTextChar"/>
    <w:uiPriority w:val="99"/>
    <w:semiHidden/>
    <w:unhideWhenUsed/>
    <w:rsid w:val="000C46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467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MUHOHO%20KAMAU\Desktop\SK\Quantitative%20Forecasting.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MUHOHO%20KAMAU\Desktop\SK\Quantitative%20Forecasting.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Exponential Smoothing</a:t>
            </a:r>
          </a:p>
        </c:rich>
      </c:tx>
      <c:overlay val="0"/>
    </c:title>
    <c:autoTitleDeleted val="0"/>
    <c:plotArea>
      <c:layout/>
      <c:lineChart>
        <c:grouping val="standard"/>
        <c:varyColors val="0"/>
        <c:ser>
          <c:idx val="0"/>
          <c:order val="0"/>
          <c:tx>
            <c:v>Actual</c:v>
          </c:tx>
          <c:val>
            <c:numRef>
              <c:f>Sheet1!$C$5:$J$5</c:f>
              <c:numCache>
                <c:formatCode>#,##0</c:formatCode>
                <c:ptCount val="8"/>
                <c:pt idx="0">
                  <c:v>56751</c:v>
                </c:pt>
                <c:pt idx="1">
                  <c:v>58001</c:v>
                </c:pt>
                <c:pt idx="2">
                  <c:v>59246</c:v>
                </c:pt>
                <c:pt idx="3">
                  <c:v>60361</c:v>
                </c:pt>
                <c:pt idx="4">
                  <c:v>61231</c:v>
                </c:pt>
                <c:pt idx="5">
                  <c:v>61976</c:v>
                </c:pt>
                <c:pt idx="6">
                  <c:v>62799</c:v>
                </c:pt>
                <c:pt idx="7">
                  <c:v>63525</c:v>
                </c:pt>
              </c:numCache>
            </c:numRef>
          </c:val>
          <c:smooth val="0"/>
          <c:extLst>
            <c:ext xmlns:c16="http://schemas.microsoft.com/office/drawing/2014/chart" uri="{C3380CC4-5D6E-409C-BE32-E72D297353CC}">
              <c16:uniqueId val="{00000000-D5DE-4C53-B758-06397F9DD6C4}"/>
            </c:ext>
          </c:extLst>
        </c:ser>
        <c:ser>
          <c:idx val="1"/>
          <c:order val="1"/>
          <c:tx>
            <c:v>Forecast</c:v>
          </c:tx>
          <c:val>
            <c:numRef>
              <c:f>Sheet1!$C$11:$J$11</c:f>
              <c:numCache>
                <c:formatCode>#,##0</c:formatCode>
                <c:ptCount val="8"/>
                <c:pt idx="0" formatCode="General">
                  <c:v>#N/A</c:v>
                </c:pt>
                <c:pt idx="1">
                  <c:v>56751</c:v>
                </c:pt>
                <c:pt idx="2" formatCode="General">
                  <c:v>57251</c:v>
                </c:pt>
                <c:pt idx="3" formatCode="General">
                  <c:v>58049</c:v>
                </c:pt>
                <c:pt idx="4" formatCode="General">
                  <c:v>58973.8</c:v>
                </c:pt>
                <c:pt idx="5" formatCode="General">
                  <c:v>59876.68</c:v>
                </c:pt>
                <c:pt idx="6" formatCode="General">
                  <c:v>60716.408000000003</c:v>
                </c:pt>
                <c:pt idx="7" formatCode="General">
                  <c:v>61549.444799999997</c:v>
                </c:pt>
              </c:numCache>
            </c:numRef>
          </c:val>
          <c:smooth val="0"/>
          <c:extLst>
            <c:ext xmlns:c16="http://schemas.microsoft.com/office/drawing/2014/chart" uri="{C3380CC4-5D6E-409C-BE32-E72D297353CC}">
              <c16:uniqueId val="{00000001-D5DE-4C53-B758-06397F9DD6C4}"/>
            </c:ext>
          </c:extLst>
        </c:ser>
        <c:dLbls>
          <c:showLegendKey val="0"/>
          <c:showVal val="0"/>
          <c:showCatName val="0"/>
          <c:showSerName val="0"/>
          <c:showPercent val="0"/>
          <c:showBubbleSize val="0"/>
        </c:dLbls>
        <c:marker val="1"/>
        <c:smooth val="0"/>
        <c:axId val="134673152"/>
        <c:axId val="134675072"/>
      </c:lineChart>
      <c:catAx>
        <c:axId val="134673152"/>
        <c:scaling>
          <c:orientation val="minMax"/>
        </c:scaling>
        <c:delete val="0"/>
        <c:axPos val="b"/>
        <c:title>
          <c:tx>
            <c:rich>
              <a:bodyPr/>
              <a:lstStyle/>
              <a:p>
                <a:pPr>
                  <a:defRPr/>
                </a:pPr>
                <a:r>
                  <a:rPr lang="en-US"/>
                  <a:t>Data Point</a:t>
                </a:r>
              </a:p>
            </c:rich>
          </c:tx>
          <c:overlay val="0"/>
        </c:title>
        <c:majorTickMark val="out"/>
        <c:minorTickMark val="none"/>
        <c:tickLblPos val="nextTo"/>
        <c:crossAx val="134675072"/>
        <c:crosses val="autoZero"/>
        <c:auto val="1"/>
        <c:lblAlgn val="ctr"/>
        <c:lblOffset val="100"/>
        <c:noMultiLvlLbl val="0"/>
      </c:catAx>
      <c:valAx>
        <c:axId val="134675072"/>
        <c:scaling>
          <c:orientation val="minMax"/>
        </c:scaling>
        <c:delete val="0"/>
        <c:axPos val="l"/>
        <c:title>
          <c:tx>
            <c:rich>
              <a:bodyPr/>
              <a:lstStyle/>
              <a:p>
                <a:pPr>
                  <a:defRPr/>
                </a:pPr>
                <a:r>
                  <a:rPr lang="en-US"/>
                  <a:t>Value</a:t>
                </a:r>
              </a:p>
            </c:rich>
          </c:tx>
          <c:overlay val="0"/>
        </c:title>
        <c:numFmt formatCode="#,##0" sourceLinked="1"/>
        <c:majorTickMark val="out"/>
        <c:minorTickMark val="none"/>
        <c:tickLblPos val="nextTo"/>
        <c:crossAx val="134673152"/>
        <c:crosses val="autoZero"/>
        <c:crossBetween val="midCat"/>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Moving Average</a:t>
            </a:r>
          </a:p>
        </c:rich>
      </c:tx>
      <c:overlay val="0"/>
    </c:title>
    <c:autoTitleDeleted val="0"/>
    <c:plotArea>
      <c:layout/>
      <c:lineChart>
        <c:grouping val="standard"/>
        <c:varyColors val="0"/>
        <c:ser>
          <c:idx val="0"/>
          <c:order val="0"/>
          <c:tx>
            <c:v>Actual</c:v>
          </c:tx>
          <c:val>
            <c:numRef>
              <c:f>Sheet1!$C$5:$K$5</c:f>
              <c:numCache>
                <c:formatCode>#,##0</c:formatCode>
                <c:ptCount val="9"/>
                <c:pt idx="0">
                  <c:v>56751</c:v>
                </c:pt>
                <c:pt idx="1">
                  <c:v>58001</c:v>
                </c:pt>
                <c:pt idx="2">
                  <c:v>59246</c:v>
                </c:pt>
                <c:pt idx="3">
                  <c:v>60361</c:v>
                </c:pt>
                <c:pt idx="4">
                  <c:v>61231</c:v>
                </c:pt>
                <c:pt idx="5">
                  <c:v>61976</c:v>
                </c:pt>
                <c:pt idx="6">
                  <c:v>62799</c:v>
                </c:pt>
                <c:pt idx="7">
                  <c:v>63525</c:v>
                </c:pt>
              </c:numCache>
            </c:numRef>
          </c:val>
          <c:smooth val="0"/>
          <c:extLst>
            <c:ext xmlns:c16="http://schemas.microsoft.com/office/drawing/2014/chart" uri="{C3380CC4-5D6E-409C-BE32-E72D297353CC}">
              <c16:uniqueId val="{00000000-B94B-4E1E-8336-E5C4CCB8FADF}"/>
            </c:ext>
          </c:extLst>
        </c:ser>
        <c:ser>
          <c:idx val="1"/>
          <c:order val="1"/>
          <c:tx>
            <c:v>Forecast</c:v>
          </c:tx>
          <c:val>
            <c:numRef>
              <c:f>Sheet1!$C$27:$K$27</c:f>
              <c:numCache>
                <c:formatCode>General</c:formatCode>
                <c:ptCount val="9"/>
                <c:pt idx="0">
                  <c:v>#N/A</c:v>
                </c:pt>
                <c:pt idx="1">
                  <c:v>#N/A</c:v>
                </c:pt>
                <c:pt idx="2" formatCode="#,##0">
                  <c:v>57999.333333333336</c:v>
                </c:pt>
                <c:pt idx="3" formatCode="#,##0">
                  <c:v>59202.666666666664</c:v>
                </c:pt>
                <c:pt idx="4" formatCode="#,##0">
                  <c:v>60279.333333333336</c:v>
                </c:pt>
                <c:pt idx="5" formatCode="#,##0">
                  <c:v>61189.333333333336</c:v>
                </c:pt>
                <c:pt idx="6" formatCode="#,##0">
                  <c:v>62002</c:v>
                </c:pt>
                <c:pt idx="7" formatCode="#,##0">
                  <c:v>62766.666666666664</c:v>
                </c:pt>
                <c:pt idx="8" formatCode="#,##0">
                  <c:v>63162</c:v>
                </c:pt>
              </c:numCache>
            </c:numRef>
          </c:val>
          <c:smooth val="0"/>
          <c:extLst>
            <c:ext xmlns:c16="http://schemas.microsoft.com/office/drawing/2014/chart" uri="{C3380CC4-5D6E-409C-BE32-E72D297353CC}">
              <c16:uniqueId val="{00000001-B94B-4E1E-8336-E5C4CCB8FADF}"/>
            </c:ext>
          </c:extLst>
        </c:ser>
        <c:dLbls>
          <c:showLegendKey val="0"/>
          <c:showVal val="0"/>
          <c:showCatName val="0"/>
          <c:showSerName val="0"/>
          <c:showPercent val="0"/>
          <c:showBubbleSize val="0"/>
        </c:dLbls>
        <c:marker val="1"/>
        <c:smooth val="0"/>
        <c:axId val="175071232"/>
        <c:axId val="175073152"/>
      </c:lineChart>
      <c:catAx>
        <c:axId val="175071232"/>
        <c:scaling>
          <c:orientation val="minMax"/>
        </c:scaling>
        <c:delete val="0"/>
        <c:axPos val="b"/>
        <c:title>
          <c:tx>
            <c:rich>
              <a:bodyPr/>
              <a:lstStyle/>
              <a:p>
                <a:pPr>
                  <a:defRPr/>
                </a:pPr>
                <a:r>
                  <a:rPr lang="en-US"/>
                  <a:t>Data Point</a:t>
                </a:r>
              </a:p>
            </c:rich>
          </c:tx>
          <c:overlay val="0"/>
        </c:title>
        <c:majorTickMark val="out"/>
        <c:minorTickMark val="none"/>
        <c:tickLblPos val="nextTo"/>
        <c:crossAx val="175073152"/>
        <c:crosses val="autoZero"/>
        <c:auto val="1"/>
        <c:lblAlgn val="ctr"/>
        <c:lblOffset val="100"/>
        <c:noMultiLvlLbl val="0"/>
      </c:catAx>
      <c:valAx>
        <c:axId val="175073152"/>
        <c:scaling>
          <c:orientation val="minMax"/>
        </c:scaling>
        <c:delete val="0"/>
        <c:axPos val="l"/>
        <c:title>
          <c:tx>
            <c:rich>
              <a:bodyPr/>
              <a:lstStyle/>
              <a:p>
                <a:pPr>
                  <a:defRPr/>
                </a:pPr>
                <a:r>
                  <a:rPr lang="en-US"/>
                  <a:t>Value</a:t>
                </a:r>
              </a:p>
            </c:rich>
          </c:tx>
          <c:overlay val="0"/>
        </c:title>
        <c:numFmt formatCode="#,##0" sourceLinked="1"/>
        <c:majorTickMark val="out"/>
        <c:minorTickMark val="none"/>
        <c:tickLblPos val="nextTo"/>
        <c:crossAx val="175071232"/>
        <c:crosses val="autoZero"/>
        <c:crossBetween val="midCat"/>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Son18</b:Tag>
    <b:SourceType>InternetSite</b:SourceType>
    <b:Guid>{9D5A3267-5AF2-4E7B-B30A-0CFC9AA88D0E}</b:Guid>
    <b:Author>
      <b:Author>
        <b:Corporate>Sony.net</b:Corporate>
      </b:Author>
    </b:Author>
    <b:Title>About Sony</b:Title>
    <b:Year>2018</b:Year>
    <b:YearAccessed>2018</b:YearAccessed>
    <b:MonthAccessed>August</b:MonthAccessed>
    <b:DayAccessed>12</b:DayAccessed>
    <b:URL>https://www.sony.net/SonyInfo/</b:URL>
    <b:RefOrder>1</b:RefOrder>
  </b:Source>
  <b:Source>
    <b:Tag>Gup15</b:Tag>
    <b:SourceType>JournalArticle</b:SourceType>
    <b:Guid>{F5ED76B3-9888-4976-935D-9D7C3A05C8AD}</b:Guid>
    <b:Title>Organizational Restructuring and Collaborative Creativity: The Case of Microsoft and Sony</b:Title>
    <b:Year>2015</b:Year>
    <b:Author>
      <b:Author>
        <b:NameList>
          <b:Person>
            <b:Last>Gupta</b:Last>
            <b:First>S</b:First>
          </b:Person>
          <b:Person>
            <b:Last>Dhillon</b:Last>
            <b:First>I</b:First>
          </b:Person>
        </b:NameList>
      </b:Author>
    </b:Author>
    <b:JournalName>Journal of Business Strategy</b:JournalName>
    <b:Pages>53-65</b:Pages>
    <b:Volume>12</b:Volume>
    <b:Issue>1</b:Issue>
    <b:RefOrder>2</b:RefOrder>
  </b:Source>
  <b:Source>
    <b:Tag>Tet16</b:Tag>
    <b:SourceType>Book</b:SourceType>
    <b:Guid>{018929CC-D121-4A5F-86D3-82B7A126545F}</b:Guid>
    <b:Author>
      <b:Author>
        <b:NameList>
          <b:Person>
            <b:Last>Tett</b:Last>
            <b:First>Gillian</b:First>
          </b:Person>
        </b:NameList>
      </b:Author>
    </b:Author>
    <b:Title>Ibuka suffered stroke in 1992 while Morita got affected by the same in 1993</b:Title>
    <b:Year>2016</b:Year>
    <b:City>New York</b:City>
    <b:Publisher>Simon and Schuster</b:Publisher>
    <b:RefOrder>3</b:RefOrder>
  </b:Source>
  <b:Source>
    <b:Tag>Sch03</b:Tag>
    <b:SourceType>JournalArticle</b:SourceType>
    <b:Guid>{637D3E1D-F308-4873-A182-F2A522CC8927}</b:Guid>
    <b:Title>The introduction of the PlayStation video game console in the entertainment division in 1994</b:Title>
    <b:Year>2003</b:Year>
    <b:Author>
      <b:Author>
        <b:NameList>
          <b:Person>
            <b:Last>Schilling</b:Last>
            <b:First>M</b:First>
            <b:Middle>A</b:Middle>
          </b:Person>
        </b:NameList>
      </b:Author>
    </b:Author>
    <b:JournalName>California Management Review</b:JournalName>
    <b:Volume>45</b:Volume>
    <b:Issue>3</b:Issue>
    <b:URL>https://doi.org/10.2307/41166174</b:URL>
    <b:RefOrder>4</b:RefOrder>
  </b:Source>
  <b:Source>
    <b:Tag>Fon03</b:Tag>
    <b:SourceType>JournalArticle</b:SourceType>
    <b:Guid>{F1D6761A-91C0-4088-8A58-894F47DE8AF5}</b:Guid>
    <b:Author>
      <b:Author>
        <b:NameList>
          <b:Person>
            <b:Last>Fong</b:Last>
            <b:First>T</b:First>
          </b:Person>
          <b:Person>
            <b:Last>Nourbakhsh</b:Last>
            <b:First>I</b:First>
          </b:Person>
          <b:Person>
            <b:Last>Duetehann</b:Last>
            <b:First>K</b:First>
          </b:Person>
        </b:NameList>
      </b:Author>
    </b:Author>
    <b:Title>A survey of socially interactive robots</b:Title>
    <b:JournalName>Robotics and Autonomous Systems</b:JournalName>
    <b:Year>2003</b:Year>
    <b:Pages>143-146</b:Pages>
    <b:Volume>42</b:Volume>
    <b:Issue>3-4</b:Issue>
    <b:URL>https://doi.org/10.1016/S0921-8890(02)00372-X</b:URL>
    <b:RefOrder>5</b:RefOrder>
  </b:Source>
  <b:Source>
    <b:Tag>Vel15</b:Tag>
    <b:SourceType>JournalArticle</b:SourceType>
    <b:Guid>{E20F2BF3-C09B-4911-AF3C-CBC427355053}</b:Guid>
    <b:Author>
      <b:Author>
        <b:NameList>
          <b:Person>
            <b:Last>Velez-Castrillon</b:Last>
            <b:First>S</b:First>
          </b:Person>
          <b:Person>
            <b:Last>Cory</b:Last>
            <b:First>A</b:First>
          </b:Person>
        </b:NameList>
      </b:Author>
    </b:Author>
    <b:Title>How Sony Got its Groove Back: A Case Study in Turnaround Management</b:Title>
    <b:JournalName>Business Education Innovation Journal</b:JournalName>
    <b:Year>2015</b:Year>
    <b:Pages>144-154</b:Pages>
    <b:Volume>7</b:Volume>
    <b:Issue>2</b:Issue>
    <b:RefOrder>6</b:RefOrder>
  </b:Source>
  <b:Source>
    <b:Tag>Mul07</b:Tag>
    <b:SourceType>JournalArticle</b:SourceType>
    <b:Guid>{60A3AE74-0B17-43FE-80B2-B4B12EE434B0}</b:Guid>
    <b:Author>
      <b:Author>
        <b:NameList>
          <b:Person>
            <b:Last>Mulligan</b:Last>
            <b:First>D</b:First>
            <b:Middle>K</b:Middle>
          </b:Person>
          <b:Person>
            <b:Last>Perzanowski</b:Last>
            <b:Middle>K</b:Middle>
            <b:First>A</b:First>
          </b:Person>
        </b:NameList>
      </b:Author>
    </b:Author>
    <b:Title>The magnificence of the disaster: Reconstructing the Sony BMG rootkit incident</b:Title>
    <b:JournalName>Berkeley Tech</b:JournalName>
    <b:Year>2007</b:Year>
    <b:Pages>1157-1168</b:Pages>
    <b:Volume>12</b:Volume>
    <b:Issue>2</b:Issue>
    <b:RefOrder>7</b:RefOrder>
  </b:Source>
</b:Sources>
</file>

<file path=customXml/itemProps1.xml><?xml version="1.0" encoding="utf-8"?>
<ds:datastoreItem xmlns:ds="http://schemas.openxmlformats.org/officeDocument/2006/customXml" ds:itemID="{3AE34B75-A6F0-41A8-838A-9E2851BADF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764</Words>
  <Characters>4355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Moses Njuguna Mbugua</dc:creator>
  <cp:lastModifiedBy>Windows User</cp:lastModifiedBy>
  <cp:revision>2</cp:revision>
  <dcterms:created xsi:type="dcterms:W3CDTF">2019-03-19T02:55:00Z</dcterms:created>
  <dcterms:modified xsi:type="dcterms:W3CDTF">2019-03-19T02:55:00Z</dcterms:modified>
</cp:coreProperties>
</file>